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18" w:rsidRPr="006668DA" w:rsidRDefault="008B2918">
      <w:pPr>
        <w:spacing w:after="17" w:line="180" w:lineRule="exact"/>
        <w:rPr>
          <w:rFonts w:ascii="Times New Roman" w:eastAsia="Times New Roman" w:hAnsi="Times New Roman" w:cs="Times New Roman"/>
          <w:sz w:val="18"/>
          <w:szCs w:val="20"/>
          <w:lang w:val="en-US"/>
        </w:rPr>
      </w:pPr>
    </w:p>
    <w:p w:rsidR="006668DA" w:rsidRDefault="006668DA" w:rsidP="008B2918">
      <w:pPr>
        <w:spacing w:after="12" w:line="220" w:lineRule="exac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B2918" w:rsidRPr="006668DA" w:rsidRDefault="008B2918" w:rsidP="008B2918">
      <w:pPr>
        <w:spacing w:after="12" w:line="22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668DA">
        <w:rPr>
          <w:rFonts w:ascii="Times New Roman" w:hAnsi="Times New Roman" w:cs="Times New Roman"/>
          <w:b/>
          <w:sz w:val="24"/>
          <w:szCs w:val="28"/>
        </w:rPr>
        <w:t>ПАМЯТКА ЗАЕМЩИКАМ</w:t>
      </w:r>
    </w:p>
    <w:p w:rsidR="00F51ED6" w:rsidRPr="006668DA" w:rsidRDefault="008B2918" w:rsidP="008B2918">
      <w:pPr>
        <w:spacing w:after="12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DA">
        <w:rPr>
          <w:rFonts w:ascii="Times New Roman" w:hAnsi="Times New Roman" w:cs="Times New Roman"/>
          <w:b/>
          <w:sz w:val="28"/>
          <w:szCs w:val="28"/>
        </w:rPr>
        <w:t xml:space="preserve"> по поддержке граждан и </w:t>
      </w:r>
      <w:r w:rsidR="00C06150" w:rsidRPr="006668DA"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предпринимательства </w:t>
      </w:r>
      <w:r w:rsidRPr="006668DA">
        <w:rPr>
          <w:rFonts w:ascii="Times New Roman" w:hAnsi="Times New Roman" w:cs="Times New Roman"/>
          <w:b/>
          <w:sz w:val="28"/>
          <w:szCs w:val="28"/>
        </w:rPr>
        <w:t>в условиях пандемии коронавируса</w:t>
      </w:r>
    </w:p>
    <w:p w:rsidR="008B2918" w:rsidRPr="006668DA" w:rsidRDefault="008B2918" w:rsidP="008B2918">
      <w:pPr>
        <w:spacing w:after="12" w:line="22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5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11057"/>
      </w:tblGrid>
      <w:tr w:rsidR="00F51ED6" w:rsidRPr="006668DA" w:rsidTr="001332C1">
        <w:trPr>
          <w:cantSplit/>
          <w:trHeight w:hRule="exact" w:val="394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ED6" w:rsidRPr="006668DA" w:rsidRDefault="005339EA" w:rsidP="00425E12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</w:rPr>
            </w:pPr>
            <w:r w:rsidRPr="006668DA"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</w:rPr>
              <w:t xml:space="preserve">Виды </w:t>
            </w:r>
            <w:r w:rsidR="00425E12" w:rsidRPr="006668DA"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</w:rPr>
              <w:t>м</w:t>
            </w:r>
            <w:r w:rsidR="008B2918" w:rsidRPr="006668DA"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</w:rPr>
              <w:t>ер поддержки</w:t>
            </w:r>
          </w:p>
        </w:tc>
        <w:tc>
          <w:tcPr>
            <w:tcW w:w="1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ED6" w:rsidRPr="006668DA" w:rsidRDefault="008B2918" w:rsidP="00810AE7">
            <w:pPr>
              <w:widowControl w:val="0"/>
              <w:spacing w:before="1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</w:rPr>
            </w:pPr>
            <w:r w:rsidRPr="006668DA"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</w:rPr>
              <w:t>Мероприятия</w:t>
            </w:r>
          </w:p>
        </w:tc>
      </w:tr>
      <w:tr w:rsidR="00C90091" w:rsidRPr="006668DA" w:rsidTr="00785DE7">
        <w:trPr>
          <w:cantSplit/>
          <w:trHeight w:hRule="exact" w:val="620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91" w:rsidRPr="006668DA" w:rsidRDefault="00C90091" w:rsidP="004A1ABA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</w:rPr>
            </w:pPr>
            <w:r w:rsidRPr="006668DA"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</w:rPr>
              <w:t>1.Кредитные каникулы</w:t>
            </w:r>
          </w:p>
        </w:tc>
        <w:tc>
          <w:tcPr>
            <w:tcW w:w="1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91" w:rsidRPr="006668DA" w:rsidRDefault="00C90091" w:rsidP="00810AE7">
            <w:pPr>
              <w:widowControl w:val="0"/>
              <w:spacing w:before="1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</w:rPr>
            </w:pPr>
          </w:p>
        </w:tc>
      </w:tr>
      <w:tr w:rsidR="0089178F" w:rsidRPr="006668DA" w:rsidTr="001332C1">
        <w:trPr>
          <w:cantSplit/>
          <w:trHeight w:hRule="exact" w:val="8733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178F" w:rsidRPr="006668DA" w:rsidRDefault="0089178F" w:rsidP="006A598D">
            <w:pPr>
              <w:pStyle w:val="a4"/>
              <w:ind w:left="288" w:right="142"/>
              <w:rPr>
                <w:b/>
                <w:color w:val="000000"/>
                <w:spacing w:val="-1"/>
                <w:sz w:val="29"/>
                <w:szCs w:val="29"/>
              </w:rPr>
            </w:pPr>
            <w:r w:rsidRPr="006668DA">
              <w:rPr>
                <w:b/>
                <w:sz w:val="29"/>
                <w:szCs w:val="29"/>
              </w:rPr>
              <w:t>1.</w:t>
            </w:r>
            <w:r w:rsidR="00C90091" w:rsidRPr="006668DA">
              <w:rPr>
                <w:b/>
                <w:sz w:val="29"/>
                <w:szCs w:val="29"/>
              </w:rPr>
              <w:t>1</w:t>
            </w:r>
            <w:r w:rsidRPr="006668DA">
              <w:rPr>
                <w:b/>
                <w:sz w:val="29"/>
                <w:szCs w:val="29"/>
              </w:rPr>
              <w:t xml:space="preserve"> </w:t>
            </w:r>
            <w:r w:rsidR="00C90091" w:rsidRPr="006668DA">
              <w:rPr>
                <w:b/>
                <w:sz w:val="29"/>
                <w:szCs w:val="29"/>
              </w:rPr>
              <w:t xml:space="preserve"> по кредитам гражданам и индивидуальным </w:t>
            </w:r>
            <w:r w:rsidR="00CA40F8">
              <w:rPr>
                <w:b/>
                <w:sz w:val="29"/>
                <w:szCs w:val="29"/>
              </w:rPr>
              <w:t>п</w:t>
            </w:r>
            <w:r w:rsidR="00C90091" w:rsidRPr="006668DA">
              <w:rPr>
                <w:b/>
                <w:sz w:val="29"/>
                <w:szCs w:val="29"/>
              </w:rPr>
              <w:t>редпринимателям</w:t>
            </w:r>
          </w:p>
        </w:tc>
        <w:tc>
          <w:tcPr>
            <w:tcW w:w="1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479" w:rsidRDefault="00BE41F1" w:rsidP="00E26DFB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П</w:t>
            </w:r>
            <w:r w:rsidR="008B291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редоставление льготного периода заемщикам в связи с распространением коронавирусной инфекции и гарантирует отсрочку платежей по кредитам и займам на срок до полугода в том случае, если заемщик оказался в трудной жизненной ситуации и столкнулся со снижением дохода на 30% и более. </w:t>
            </w:r>
          </w:p>
          <w:p w:rsidR="00E26DFB" w:rsidRPr="006668DA" w:rsidRDefault="00FD651F" w:rsidP="00E26DFB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Право на льготный период имеют граждане и индивидуальные предприниматели.</w:t>
            </w:r>
            <w:r w:rsidR="00E26DFB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Льготный период предоставляется по запросу заемщика сразу же, подтверждающие документы можно принести в банк потом.</w:t>
            </w:r>
          </w:p>
          <w:p w:rsidR="008B2918" w:rsidRDefault="008B2918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Льготный период распространяется на кредиты и займы до определенной суммы, их лимиты определены Постановлениями Правительства </w:t>
            </w:r>
            <w:hyperlink r:id="rId6" w:history="1">
              <w:r w:rsidRPr="006668DA">
                <w:rPr>
                  <w:rFonts w:ascii="Times New Roman" w:eastAsia="Times New Roman" w:hAnsi="Times New Roman" w:cs="Times New Roman"/>
                  <w:sz w:val="29"/>
                  <w:szCs w:val="29"/>
                </w:rPr>
                <w:t xml:space="preserve">от </w:t>
              </w:r>
              <w:r w:rsidR="004D2332" w:rsidRPr="006668DA">
                <w:rPr>
                  <w:rFonts w:ascii="Times New Roman" w:eastAsia="Times New Roman" w:hAnsi="Times New Roman" w:cs="Times New Roman"/>
                  <w:sz w:val="29"/>
                  <w:szCs w:val="29"/>
                </w:rPr>
                <w:t>0</w:t>
              </w:r>
              <w:r w:rsidRPr="006668DA">
                <w:rPr>
                  <w:rFonts w:ascii="Times New Roman" w:eastAsia="Times New Roman" w:hAnsi="Times New Roman" w:cs="Times New Roman"/>
                  <w:sz w:val="29"/>
                  <w:szCs w:val="29"/>
                </w:rPr>
                <w:t>3 апреля</w:t>
              </w:r>
            </w:hyperlink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2020 г. №</w:t>
            </w:r>
            <w:r w:rsidR="001801C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435 </w:t>
            </w:r>
            <w:r w:rsidR="004D2332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«Об установлении максимального размера кредита (займа) для кредитов (займов), по которому заемщик вправе обратиться к кредитору с требованием об изменении условий кредитного договора (договора займа), предусматривающим приостановление исполнения заемщиком своих обязательств» и от 10 апреля 2020 г. №</w:t>
            </w:r>
            <w:r w:rsidR="001801C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478 «О внесении изменений в постановление Правительства Российско</w:t>
            </w:r>
            <w:r w:rsidR="00182D05">
              <w:rPr>
                <w:rFonts w:ascii="Times New Roman" w:eastAsia="Times New Roman" w:hAnsi="Times New Roman" w:cs="Times New Roman"/>
                <w:sz w:val="29"/>
                <w:szCs w:val="29"/>
              </w:rPr>
              <w:t>й Федерации от 3 апреля 2020 г.</w:t>
            </w:r>
            <w:r w:rsid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№</w:t>
            </w:r>
            <w:r w:rsidR="001801C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435». </w:t>
            </w:r>
          </w:p>
          <w:p w:rsidR="00C21278" w:rsidRPr="006668DA" w:rsidRDefault="00C21278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После установления льготного периода исполнение обязательств кредитора по предоставлению средств заемщику приостанавливается на весь срок действия льготного периода.</w:t>
            </w:r>
          </w:p>
          <w:p w:rsidR="008B2918" w:rsidRPr="006668DA" w:rsidRDefault="008B2918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Банком России даны рекомендации коммерческим банкам реструктурировать и займы, не подходящие под требования данного закона. У большинства банков уже есть программы реструктуризации. Банки могут предлагать перенос сроков платежа, снижение его размера и другие варианты, чтобы сделать выплаты посильными.</w:t>
            </w:r>
          </w:p>
          <w:p w:rsidR="0089178F" w:rsidRPr="006668DA" w:rsidRDefault="001467F7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</w:rPr>
            </w:pP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Федеральный закон от 03</w:t>
            </w:r>
            <w:r w:rsidR="001801C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апреля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2020</w:t>
            </w:r>
            <w:r w:rsidR="001801C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г.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№ 106-ФЗ «О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</w:t>
            </w:r>
            <w:r w:rsidR="00C90091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договора, договора займа» (ст.6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).</w:t>
            </w:r>
          </w:p>
        </w:tc>
      </w:tr>
      <w:tr w:rsidR="00C90091" w:rsidRPr="006668DA" w:rsidTr="001332C1">
        <w:trPr>
          <w:cantSplit/>
          <w:trHeight w:hRule="exact" w:val="9217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91" w:rsidRPr="006668DA" w:rsidRDefault="00C90091" w:rsidP="003E0C54">
            <w:pPr>
              <w:pStyle w:val="a4"/>
              <w:ind w:left="288"/>
              <w:rPr>
                <w:b/>
                <w:sz w:val="29"/>
                <w:szCs w:val="29"/>
              </w:rPr>
            </w:pPr>
            <w:r w:rsidRPr="006668DA">
              <w:rPr>
                <w:b/>
                <w:sz w:val="29"/>
                <w:szCs w:val="29"/>
              </w:rPr>
              <w:lastRenderedPageBreak/>
              <w:t>1.2.</w:t>
            </w:r>
            <w:r w:rsidR="0089139D" w:rsidRPr="006668DA">
              <w:rPr>
                <w:b/>
                <w:sz w:val="29"/>
                <w:szCs w:val="29"/>
              </w:rPr>
              <w:t xml:space="preserve"> по кредитам для МСП </w:t>
            </w:r>
          </w:p>
        </w:tc>
        <w:tc>
          <w:tcPr>
            <w:tcW w:w="1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91" w:rsidRDefault="00C90091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Право на </w:t>
            </w:r>
            <w:r w:rsidR="004802BC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отсрочку (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льготный период</w:t>
            </w:r>
            <w:r w:rsidR="004802BC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)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имеют субъекты малого и среднего предпринимательства, осуществляющие свою деятельность в отраслях, утвержденных Постановлением Пра</w:t>
            </w:r>
            <w:r w:rsidR="00182D05">
              <w:rPr>
                <w:rFonts w:ascii="Times New Roman" w:eastAsia="Times New Roman" w:hAnsi="Times New Roman" w:cs="Times New Roman"/>
                <w:sz w:val="29"/>
                <w:szCs w:val="29"/>
              </w:rPr>
              <w:t>вительства Российской Федерации, заключившие до 3 апреля 2020 года с кредитором кредитный договор (договор займа) и обратившиеся к кредитору с требованием об изменении его условий в любой момент действия такого договора, но не позднее 30 сентября 2020 года.</w:t>
            </w:r>
          </w:p>
          <w:p w:rsidR="003656E1" w:rsidRDefault="003656E1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Требование заемщика –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периода.</w:t>
            </w:r>
          </w:p>
          <w:p w:rsidR="003656E1" w:rsidRDefault="003656E1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Длительность льготного  периода определяется заемщиком на срок не более шести месяцев.</w:t>
            </w:r>
          </w:p>
          <w:p w:rsidR="003656E1" w:rsidRDefault="003656E1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По окончании (прекращении) льготного периода в сумму обязательств заемщика по основному долгу включается сумма обязательств по процентам, которые должны были быть уплачены заемщиком в течение льготного периода исходя из действовавших до представления льготного периода условий кредитного договора, но</w:t>
            </w:r>
            <w:r w:rsidR="00C21278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не были им уплачены в с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вязи с представлением ему льготного периода.</w:t>
            </w:r>
          </w:p>
          <w:p w:rsidR="00182D05" w:rsidRDefault="00182D05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Федеральный закон от 03 апреля 2020 г. № 106-ФЗ «О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займа» (ст.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7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).</w:t>
            </w:r>
          </w:p>
          <w:p w:rsidR="00C90091" w:rsidRPr="006668DA" w:rsidRDefault="00C90091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</w:tr>
      <w:tr w:rsidR="006A598D" w:rsidRPr="006668DA" w:rsidTr="001332C1">
        <w:trPr>
          <w:cantSplit/>
          <w:trHeight w:hRule="exact" w:val="11485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98D" w:rsidRPr="006668DA" w:rsidRDefault="006A598D" w:rsidP="006A598D">
            <w:pPr>
              <w:pStyle w:val="a4"/>
              <w:ind w:left="288"/>
              <w:rPr>
                <w:b/>
                <w:sz w:val="29"/>
                <w:szCs w:val="29"/>
              </w:rPr>
            </w:pPr>
            <w:r w:rsidRPr="006668DA">
              <w:rPr>
                <w:b/>
                <w:sz w:val="29"/>
                <w:szCs w:val="29"/>
              </w:rPr>
              <w:lastRenderedPageBreak/>
              <w:t xml:space="preserve">2. Отсрочка по кредитам для МСП </w:t>
            </w:r>
          </w:p>
        </w:tc>
        <w:tc>
          <w:tcPr>
            <w:tcW w:w="1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98D" w:rsidRDefault="006A598D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Право на отсрочку имеют заемщики, являющиеся субъектами малого или среднего предпринимательства в соответствии с Федеральным законом «О развитии малого и среднего предпринимательства в Российской Федерации» и осуществляющие деятельность в одной или нескольких отраслях или видах деятельности по перечню, утверждаемому Правительственной комиссией по вопросам малого и среднего предпринимательства, заключившие с российскими кредитными организациями кредитный договор (соглашение) до 1 апреля 2020 года.</w:t>
            </w:r>
          </w:p>
          <w:p w:rsidR="00674523" w:rsidRDefault="00674523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Отсрочка предоставляется кредитной организацией в период с 1 апреля по 1 октября 2020 года по платежам по основному долгу с продлением графика платежей по основному долгу по кредитному договору (соглашению) на 6 месяцев.</w:t>
            </w:r>
          </w:p>
          <w:p w:rsidR="000D0067" w:rsidRDefault="000D0067" w:rsidP="000D006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Заемщик осуществляет платежи процентов в период с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0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1 апреля по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                     01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октября 2020 г. в размере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тридцати трех процентов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объема платежей, предусмотренных графиком платежей за указанный период, либо платежи процентов в период с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0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1 апреля по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0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1 октября 2020 г. в размере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тридцати трех процентов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включ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аются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в основной долг по кредитному договору (соглашению).</w:t>
            </w:r>
          </w:p>
          <w:p w:rsidR="003163D3" w:rsidRDefault="00535AAC" w:rsidP="000D006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Из о</w:t>
            </w:r>
            <w:r w:rsidR="000D0067">
              <w:rPr>
                <w:rFonts w:ascii="Times New Roman" w:eastAsia="Times New Roman" w:hAnsi="Times New Roman" w:cs="Times New Roman"/>
                <w:sz w:val="29"/>
                <w:szCs w:val="29"/>
              </w:rPr>
              <w:t>ста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вшихся</w:t>
            </w:r>
            <w:r w:rsidR="000D0067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шест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и</w:t>
            </w:r>
            <w:r w:rsidR="000D0067">
              <w:rPr>
                <w:rFonts w:ascii="Times New Roman" w:eastAsia="Times New Roman" w:hAnsi="Times New Roman" w:cs="Times New Roman"/>
                <w:sz w:val="29"/>
                <w:szCs w:val="29"/>
              </w:rPr>
              <w:t>десят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и</w:t>
            </w:r>
            <w:r w:rsidR="000D0067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сем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и</w:t>
            </w:r>
            <w:r w:rsidR="000D0067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процентов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тридцать чет</w:t>
            </w:r>
            <w:r w:rsidR="0049490C">
              <w:rPr>
                <w:rFonts w:ascii="Times New Roman" w:eastAsia="Times New Roman" w:hAnsi="Times New Roman" w:cs="Times New Roman"/>
                <w:sz w:val="29"/>
                <w:szCs w:val="29"/>
              </w:rPr>
              <w:t>ы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ре процента </w:t>
            </w:r>
            <w:r w:rsidR="000D0067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компенсируются кредитной организации Правительством Российской Федерации за счет средств федерального бюджета в случае </w:t>
            </w:r>
            <w:r w:rsidR="006A0E4B">
              <w:rPr>
                <w:rFonts w:ascii="Times New Roman" w:eastAsia="Times New Roman" w:hAnsi="Times New Roman" w:cs="Times New Roman"/>
                <w:sz w:val="29"/>
                <w:szCs w:val="29"/>
              </w:rPr>
              <w:t>заключения кредитной организацией соглашения с Министерством экономического развития Российской Федерации  о предоставлении субсидии на обеспечение отсрочки платежа по кредитам, выданным субъектам МСП.</w:t>
            </w:r>
          </w:p>
          <w:p w:rsidR="00767638" w:rsidRDefault="003163D3" w:rsidP="003163D3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е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девяти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месяцев с момента получения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заемщиком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отсрочки не допускается увеличение процентной ставки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по кредитному договору (соглашению)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и досрочное истребование кредитором обязательств по кредит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ному договору (соглашению)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, если заемщик своевременно исполняет свои обязательства по уплате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тридцати трех процентов</w:t>
            </w:r>
            <w:r w:rsidRPr="006668DA">
              <w:rPr>
                <w:sz w:val="29"/>
                <w:szCs w:val="29"/>
              </w:rPr>
              <w:t xml:space="preserve">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объема платежей по начисленным процентам и/или обязательства по уплате основного долга в соответствии с новым графиком. </w:t>
            </w:r>
          </w:p>
          <w:p w:rsidR="00F11FCF" w:rsidRPr="00CA59C9" w:rsidRDefault="00F11FCF" w:rsidP="00F11FCF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B248C">
              <w:rPr>
                <w:rFonts w:ascii="Times New Roman" w:eastAsia="Times New Roman" w:hAnsi="Times New Roman" w:cs="Times New Roman"/>
                <w:sz w:val="29"/>
                <w:szCs w:val="29"/>
              </w:rPr>
              <w:t>В Нижегородской области программа действует</w:t>
            </w:r>
            <w:r w:rsidR="00A9506D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у</w:t>
            </w:r>
            <w:r w:rsidRPr="00AB248C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ПАО Сбербанк, ПАО Банк ВТБ, </w:t>
            </w:r>
            <w:r w:rsidR="00A9506D" w:rsidRPr="00AB248C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ПАО Промсвязьбанк, </w:t>
            </w:r>
            <w:r w:rsidR="00F019FE" w:rsidRPr="002D1E9B">
              <w:rPr>
                <w:rFonts w:ascii="Times New Roman" w:eastAsia="Times New Roman" w:hAnsi="Times New Roman" w:cs="Times New Roman"/>
                <w:sz w:val="29"/>
                <w:szCs w:val="29"/>
              </w:rPr>
              <w:t>Банк ГПБ (АО)</w:t>
            </w:r>
            <w:r w:rsidRPr="00A9506D">
              <w:rPr>
                <w:rFonts w:ascii="Times New Roman" w:eastAsia="Times New Roman" w:hAnsi="Times New Roman" w:cs="Times New Roman"/>
                <w:sz w:val="29"/>
                <w:szCs w:val="29"/>
              </w:rPr>
              <w:t>,</w:t>
            </w:r>
            <w:r w:rsidRPr="00AB248C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ПАО Банк «ФК Открытие»</w:t>
            </w:r>
            <w:r w:rsidR="00BD0C0F" w:rsidRPr="00AB248C">
              <w:rPr>
                <w:rFonts w:ascii="Times New Roman" w:eastAsia="Times New Roman" w:hAnsi="Times New Roman" w:cs="Times New Roman"/>
                <w:sz w:val="29"/>
                <w:szCs w:val="29"/>
              </w:rPr>
              <w:t>,</w:t>
            </w:r>
            <w:r w:rsidR="00BD0C0F" w:rsidRPr="00AB248C">
              <w:t xml:space="preserve"> </w:t>
            </w:r>
            <w:r w:rsidR="00BD0C0F" w:rsidRPr="00AB248C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АО АБ "РОССИЯ", </w:t>
            </w:r>
            <w:r w:rsidR="008D0CF3" w:rsidRPr="00AB248C">
              <w:rPr>
                <w:rFonts w:ascii="Times New Roman" w:eastAsia="Times New Roman" w:hAnsi="Times New Roman" w:cs="Times New Roman"/>
                <w:sz w:val="29"/>
                <w:szCs w:val="29"/>
              </w:rPr>
              <w:t>ПАО "САРОВБИЗНЕСБАНК"</w:t>
            </w:r>
            <w:r w:rsidRPr="00AB248C">
              <w:rPr>
                <w:rFonts w:ascii="Times New Roman" w:eastAsia="Times New Roman" w:hAnsi="Times New Roman" w:cs="Times New Roman"/>
                <w:sz w:val="29"/>
                <w:szCs w:val="29"/>
              </w:rPr>
              <w:t>.</w:t>
            </w:r>
          </w:p>
          <w:p w:rsidR="001332C1" w:rsidRPr="006668DA" w:rsidRDefault="001332C1" w:rsidP="001332C1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Постановление Правительства РФ от 02 апреля 2020 г. № 410 «Об утверждении Правил предоставления в 2020 году субсидий из федерального бюджета российским кредитным организациям на обеспечение отсрочки платежа по кредитам, выданным субъектам малого и среднего предпринимательства».</w:t>
            </w:r>
          </w:p>
          <w:p w:rsidR="00674523" w:rsidRPr="001332C1" w:rsidRDefault="00674523" w:rsidP="001332C1">
            <w:pPr>
              <w:spacing w:before="100" w:beforeAutospacing="1" w:after="100" w:afterAutospacing="1" w:line="240" w:lineRule="auto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u w:val="single"/>
              </w:rPr>
            </w:pPr>
          </w:p>
        </w:tc>
      </w:tr>
    </w:tbl>
    <w:p w:rsidR="006668DA" w:rsidRPr="006668DA" w:rsidRDefault="006668DA"/>
    <w:tbl>
      <w:tblPr>
        <w:tblW w:w="155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2"/>
        <w:gridCol w:w="10915"/>
      </w:tblGrid>
      <w:tr w:rsidR="00425E12" w:rsidRPr="006668DA" w:rsidTr="005C444D">
        <w:trPr>
          <w:cantSplit/>
          <w:trHeight w:hRule="exact" w:val="1563"/>
        </w:trPr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E12" w:rsidRPr="006668DA" w:rsidRDefault="00460028" w:rsidP="004A1ABA">
            <w:pPr>
              <w:pStyle w:val="a4"/>
              <w:rPr>
                <w:color w:val="000000"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3</w:t>
            </w:r>
            <w:r w:rsidR="00425E12" w:rsidRPr="006668DA">
              <w:rPr>
                <w:b/>
                <w:sz w:val="29"/>
                <w:szCs w:val="29"/>
              </w:rPr>
              <w:t>. Кредитование малого и среднего бизнеса</w:t>
            </w:r>
          </w:p>
        </w:tc>
        <w:tc>
          <w:tcPr>
            <w:tcW w:w="10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5E12" w:rsidRPr="006668DA" w:rsidRDefault="00425E12" w:rsidP="003163D3">
            <w:pPr>
              <w:spacing w:before="100" w:beforeAutospacing="1" w:after="100" w:afterAutospacing="1" w:line="240" w:lineRule="auto"/>
              <w:ind w:left="142" w:right="142"/>
              <w:jc w:val="both"/>
              <w:rPr>
                <w:color w:val="000000"/>
                <w:sz w:val="29"/>
                <w:szCs w:val="29"/>
              </w:rPr>
            </w:pPr>
          </w:p>
        </w:tc>
      </w:tr>
      <w:tr w:rsidR="005339EA" w:rsidRPr="006668DA" w:rsidTr="00AA23E3">
        <w:trPr>
          <w:cantSplit/>
          <w:trHeight w:hRule="exact" w:val="4947"/>
        </w:trPr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E12" w:rsidRPr="006668DA" w:rsidRDefault="00460028" w:rsidP="00CA40F8">
            <w:pPr>
              <w:pStyle w:val="a4"/>
              <w:ind w:left="288" w:firstLine="4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3</w:t>
            </w:r>
            <w:r w:rsidR="00425E12" w:rsidRPr="006668DA">
              <w:rPr>
                <w:b/>
                <w:sz w:val="29"/>
                <w:szCs w:val="29"/>
              </w:rPr>
              <w:t>.1. Упрощение требований к заемщикам-субъектам МСП</w:t>
            </w:r>
          </w:p>
          <w:p w:rsidR="005339EA" w:rsidRPr="006668DA" w:rsidRDefault="005339EA" w:rsidP="008B2918">
            <w:pPr>
              <w:pStyle w:val="a4"/>
              <w:rPr>
                <w:b/>
                <w:sz w:val="29"/>
                <w:szCs w:val="29"/>
              </w:rPr>
            </w:pPr>
          </w:p>
        </w:tc>
        <w:tc>
          <w:tcPr>
            <w:tcW w:w="10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9EA" w:rsidRDefault="00425E12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Упрощение требований к заемщику (при оценке не учитываются задолженности по налогам, сборам, заработной плате, просрочки по действующим кредитам), снятие ограничения по рефинансированию.</w:t>
            </w:r>
          </w:p>
          <w:p w:rsidR="008D0CF3" w:rsidRPr="00F019FE" w:rsidRDefault="008D0CF3" w:rsidP="008D0CF3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E3801">
              <w:rPr>
                <w:rFonts w:ascii="Times New Roman" w:eastAsia="Times New Roman" w:hAnsi="Times New Roman" w:cs="Times New Roman"/>
                <w:sz w:val="29"/>
                <w:szCs w:val="29"/>
              </w:rPr>
              <w:t>В Нижегородс</w:t>
            </w:r>
            <w:r w:rsidR="00072610">
              <w:rPr>
                <w:rFonts w:ascii="Times New Roman" w:eastAsia="Times New Roman" w:hAnsi="Times New Roman" w:cs="Times New Roman"/>
                <w:sz w:val="29"/>
                <w:szCs w:val="29"/>
              </w:rPr>
              <w:t>кой области программа действует у</w:t>
            </w:r>
            <w:r w:rsidRPr="00F019FE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ПАО Сбербанк, ПАО Банк</w:t>
            </w:r>
            <w:r w:rsidR="00F019FE">
              <w:rPr>
                <w:rFonts w:ascii="Times New Roman" w:eastAsia="Times New Roman" w:hAnsi="Times New Roman" w:cs="Times New Roman"/>
                <w:sz w:val="29"/>
                <w:szCs w:val="29"/>
              </w:rPr>
              <w:t> </w:t>
            </w:r>
            <w:r w:rsidRPr="00F019FE">
              <w:rPr>
                <w:rFonts w:ascii="Times New Roman" w:eastAsia="Times New Roman" w:hAnsi="Times New Roman" w:cs="Times New Roman"/>
                <w:sz w:val="29"/>
                <w:szCs w:val="29"/>
              </w:rPr>
              <w:t>ВТБ</w:t>
            </w:r>
            <w:r w:rsidR="00F019FE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, </w:t>
            </w:r>
            <w:r w:rsidR="00F019FE" w:rsidRPr="00F019FE">
              <w:rPr>
                <w:rFonts w:ascii="Times New Roman" w:eastAsia="Times New Roman" w:hAnsi="Times New Roman" w:cs="Times New Roman"/>
                <w:sz w:val="29"/>
                <w:szCs w:val="29"/>
              </w:rPr>
              <w:t>ПАО Промсвязьбанк,</w:t>
            </w:r>
            <w:r w:rsidRPr="00F019FE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 w:rsidR="00F019FE" w:rsidRPr="002D1E9B">
              <w:rPr>
                <w:rFonts w:ascii="Times New Roman" w:eastAsia="Times New Roman" w:hAnsi="Times New Roman" w:cs="Times New Roman"/>
                <w:sz w:val="29"/>
                <w:szCs w:val="29"/>
              </w:rPr>
              <w:t>Банк ГПБ (АО)</w:t>
            </w:r>
            <w:r w:rsidRPr="00F019FE">
              <w:rPr>
                <w:rFonts w:ascii="Times New Roman" w:eastAsia="Times New Roman" w:hAnsi="Times New Roman" w:cs="Times New Roman"/>
                <w:sz w:val="29"/>
                <w:szCs w:val="29"/>
              </w:rPr>
              <w:t>, ПАО Банк «ФК Открытие», АО АБ "РОССИЯ", АО "АЛЬФА-БАНК",</w:t>
            </w:r>
            <w:r w:rsidRPr="00F019FE">
              <w:t xml:space="preserve"> </w:t>
            </w:r>
            <w:r w:rsidRPr="00F019FE">
              <w:rPr>
                <w:rFonts w:ascii="Times New Roman" w:eastAsia="Times New Roman" w:hAnsi="Times New Roman" w:cs="Times New Roman"/>
                <w:sz w:val="29"/>
                <w:szCs w:val="29"/>
              </w:rPr>
              <w:t>ПАО "САРОВБИЗНЕСБАНК",</w:t>
            </w:r>
            <w:r w:rsidRPr="00F019FE">
              <w:t xml:space="preserve"> </w:t>
            </w:r>
            <w:r w:rsidRPr="00F019FE">
              <w:rPr>
                <w:rFonts w:ascii="Times New Roman" w:eastAsia="Times New Roman" w:hAnsi="Times New Roman" w:cs="Times New Roman"/>
                <w:sz w:val="29"/>
                <w:szCs w:val="29"/>
              </w:rPr>
              <w:t>ПАО "НБД- Банк".</w:t>
            </w:r>
          </w:p>
          <w:p w:rsidR="00425E12" w:rsidRPr="006668DA" w:rsidRDefault="00425E12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color w:val="000000"/>
                <w:sz w:val="29"/>
                <w:szCs w:val="29"/>
              </w:rPr>
            </w:pP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Постановление Правительства РФ от 31</w:t>
            </w:r>
            <w:r w:rsidR="001801C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марта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2020</w:t>
            </w:r>
            <w:r w:rsidR="001801C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г.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№ 372 «О внесении изменений в Правила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кредитам, выданным в 2019 - 2024 годах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по льготной ставке».</w:t>
            </w:r>
          </w:p>
        </w:tc>
      </w:tr>
      <w:tr w:rsidR="00425E12" w:rsidRPr="006668DA" w:rsidTr="005C444D">
        <w:trPr>
          <w:cantSplit/>
          <w:trHeight w:hRule="exact" w:val="4256"/>
        </w:trPr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E12" w:rsidRPr="006668DA" w:rsidRDefault="00460028" w:rsidP="00457605">
            <w:pPr>
              <w:pStyle w:val="a4"/>
              <w:ind w:left="288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3</w:t>
            </w:r>
            <w:r w:rsidR="00425E12" w:rsidRPr="006668DA">
              <w:rPr>
                <w:b/>
                <w:sz w:val="29"/>
                <w:szCs w:val="29"/>
              </w:rPr>
              <w:t>.</w:t>
            </w:r>
            <w:r w:rsidR="00CA40F8">
              <w:rPr>
                <w:b/>
                <w:sz w:val="29"/>
                <w:szCs w:val="29"/>
              </w:rPr>
              <w:t>2</w:t>
            </w:r>
            <w:r w:rsidR="00425E12" w:rsidRPr="006668DA">
              <w:rPr>
                <w:b/>
                <w:sz w:val="29"/>
                <w:szCs w:val="29"/>
              </w:rPr>
              <w:t>. Программа кредитования на заработную плату</w:t>
            </w:r>
            <w:r w:rsidR="00457605">
              <w:rPr>
                <w:b/>
                <w:sz w:val="29"/>
                <w:szCs w:val="29"/>
              </w:rPr>
              <w:t xml:space="preserve"> под ставку </w:t>
            </w:r>
            <w:r w:rsidR="00457605" w:rsidRPr="00457605">
              <w:rPr>
                <w:b/>
                <w:sz w:val="29"/>
                <w:szCs w:val="29"/>
              </w:rPr>
              <w:t>0%</w:t>
            </w:r>
          </w:p>
        </w:tc>
        <w:tc>
          <w:tcPr>
            <w:tcW w:w="10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E12" w:rsidRPr="006668DA" w:rsidRDefault="00425E12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Кредитная линия до 01</w:t>
            </w:r>
            <w:r w:rsidR="001801C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октября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2020, кредитование субъектов МСП, относящихся к категориям «малое предприятие» и «микропредприятие». На выдачу кредита допущены банки с рейтингом н</w:t>
            </w:r>
            <w:r w:rsidR="00AC149D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е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ниже «А-» (АКРА).</w:t>
            </w:r>
          </w:p>
          <w:p w:rsidR="00425E12" w:rsidRPr="00C6600F" w:rsidRDefault="00425E12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115D89">
              <w:rPr>
                <w:rFonts w:ascii="Times New Roman" w:eastAsia="Times New Roman" w:hAnsi="Times New Roman" w:cs="Times New Roman"/>
                <w:sz w:val="29"/>
                <w:szCs w:val="29"/>
              </w:rPr>
              <w:t>В Нижегородской области программа действует</w:t>
            </w:r>
            <w:r w:rsidR="00072610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у</w:t>
            </w:r>
            <w:bookmarkStart w:id="0" w:name="_GoBack"/>
            <w:bookmarkEnd w:id="0"/>
            <w:r w:rsidRPr="00115D89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 w:rsidR="00053FC8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ПАО </w:t>
            </w:r>
            <w:r w:rsidRPr="00115D89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Сбербанк, </w:t>
            </w:r>
            <w:r w:rsidR="00440E3D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ПАО </w:t>
            </w:r>
            <w:r w:rsidRPr="00115D89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Банк ВТБ, </w:t>
            </w:r>
            <w:r w:rsidR="00CA59C9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ПАО </w:t>
            </w:r>
            <w:r w:rsidRPr="00115D89">
              <w:rPr>
                <w:rFonts w:ascii="Times New Roman" w:eastAsia="Times New Roman" w:hAnsi="Times New Roman" w:cs="Times New Roman"/>
                <w:sz w:val="29"/>
                <w:szCs w:val="29"/>
              </w:rPr>
              <w:t>Промсвязьбанк</w:t>
            </w:r>
            <w:r w:rsidR="00C6600F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, </w:t>
            </w:r>
            <w:r w:rsidR="00C6600F" w:rsidRPr="002D1E9B">
              <w:rPr>
                <w:rFonts w:ascii="Times New Roman" w:eastAsia="Times New Roman" w:hAnsi="Times New Roman" w:cs="Times New Roman"/>
                <w:sz w:val="29"/>
                <w:szCs w:val="29"/>
              </w:rPr>
              <w:t>Банк ГПБ (АО)</w:t>
            </w:r>
            <w:r w:rsidR="002D1E9B" w:rsidRPr="002D1E9B">
              <w:rPr>
                <w:rFonts w:ascii="Times New Roman" w:eastAsia="Times New Roman" w:hAnsi="Times New Roman" w:cs="Times New Roman"/>
                <w:sz w:val="29"/>
                <w:szCs w:val="29"/>
              </w:rPr>
              <w:t>,</w:t>
            </w:r>
            <w:r w:rsidR="00C6600F" w:rsidRPr="002D1E9B">
              <w:t xml:space="preserve"> </w:t>
            </w:r>
            <w:r w:rsidR="00C6600F" w:rsidRPr="002D1E9B">
              <w:rPr>
                <w:rFonts w:ascii="Times New Roman" w:eastAsia="Times New Roman" w:hAnsi="Times New Roman" w:cs="Times New Roman"/>
                <w:sz w:val="29"/>
                <w:szCs w:val="29"/>
              </w:rPr>
              <w:t>АО "АЛЬФА-БАНК"</w:t>
            </w:r>
            <w:r w:rsidRPr="002D1E9B">
              <w:rPr>
                <w:rFonts w:ascii="Times New Roman" w:eastAsia="Times New Roman" w:hAnsi="Times New Roman" w:cs="Times New Roman"/>
                <w:sz w:val="29"/>
                <w:szCs w:val="29"/>
              </w:rPr>
              <w:t>.</w:t>
            </w:r>
          </w:p>
          <w:p w:rsidR="00425E12" w:rsidRPr="006668DA" w:rsidRDefault="00425E12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Постановление Правительства РФ от 02</w:t>
            </w:r>
            <w:r w:rsidR="001801C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апреля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2020 </w:t>
            </w:r>
            <w:r w:rsidR="001801C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г.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№ 422 </w:t>
            </w:r>
            <w:r w:rsidR="001801C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«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Об</w:t>
            </w:r>
            <w:r w:rsidR="0065224F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утверждении Правил предоставления субсидий из федерального бюджета российским кредитным</w:t>
            </w:r>
            <w:r w:rsidR="00A636F3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организациям на возмещение недополученных ими доходов по кредитам, выданным в 2020 году субъектам малого и среднего предпринимательства на неотложные нужды для поддержки и сохранения занятости</w:t>
            </w:r>
            <w:r w:rsidR="001801C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»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.</w:t>
            </w:r>
          </w:p>
        </w:tc>
      </w:tr>
      <w:tr w:rsidR="00CA40F8" w:rsidRPr="006668DA" w:rsidTr="004334D0">
        <w:trPr>
          <w:cantSplit/>
          <w:trHeight w:hRule="exact" w:val="10493"/>
        </w:trPr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0F8" w:rsidRPr="006668DA" w:rsidRDefault="00460028" w:rsidP="00CA40F8">
            <w:pPr>
              <w:pStyle w:val="a4"/>
              <w:ind w:left="288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lastRenderedPageBreak/>
              <w:t>3</w:t>
            </w:r>
            <w:r w:rsidR="00CA40F8" w:rsidRPr="006668DA">
              <w:rPr>
                <w:b/>
                <w:sz w:val="29"/>
                <w:szCs w:val="29"/>
              </w:rPr>
              <w:t>.</w:t>
            </w:r>
            <w:r w:rsidR="00CA40F8">
              <w:rPr>
                <w:b/>
                <w:sz w:val="29"/>
                <w:szCs w:val="29"/>
              </w:rPr>
              <w:t>3</w:t>
            </w:r>
            <w:r w:rsidR="00CA40F8" w:rsidRPr="006668DA">
              <w:rPr>
                <w:b/>
                <w:sz w:val="29"/>
                <w:szCs w:val="29"/>
              </w:rPr>
              <w:t>. Кредитование под 8,5% для МСП</w:t>
            </w:r>
          </w:p>
          <w:p w:rsidR="00CA40F8" w:rsidRPr="006668DA" w:rsidRDefault="00CA40F8" w:rsidP="00CA40F8">
            <w:pPr>
              <w:pStyle w:val="a4"/>
              <w:ind w:left="288"/>
              <w:rPr>
                <w:b/>
                <w:sz w:val="29"/>
                <w:szCs w:val="29"/>
              </w:rPr>
            </w:pPr>
          </w:p>
        </w:tc>
        <w:tc>
          <w:tcPr>
            <w:tcW w:w="10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0F8" w:rsidRPr="004334D0" w:rsidRDefault="00CA40F8" w:rsidP="00F0602E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4D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Продление пониженной ставки по кредитам для малого и среднего бизнеса на максимальном уровне 8,5% и сняты ограничения по видам льготного кредитования и отраслям.</w:t>
            </w:r>
          </w:p>
          <w:p w:rsidR="00CA40F8" w:rsidRPr="004334D0" w:rsidRDefault="00CA40F8" w:rsidP="00F0602E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4D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Правительства РФ от 30 декабря 2018 г. № 1764 «Об утверждении Правил предоставления субсидий из федерального бюджета российским кредитным</w:t>
            </w:r>
            <w:r w:rsidR="00460028" w:rsidRPr="004334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34D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организациям на возмещение недополученных ими доходов по кредитам, выданным в 2019 - 2024 годах субъектам малого и среднего предпринимательства по льготной ставке».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банков-партнеров по</w:t>
            </w:r>
            <w:r w:rsidR="004334D0" w:rsidRPr="004334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34D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программе льготного кредит</w:t>
            </w:r>
            <w:r w:rsidR="004334D0" w:rsidRPr="004334D0">
              <w:rPr>
                <w:rFonts w:ascii="Times New Roman" w:eastAsia="Times New Roman" w:hAnsi="Times New Roman" w:cs="Times New Roman"/>
                <w:sz w:val="28"/>
                <w:szCs w:val="28"/>
              </w:rPr>
              <w:t>ования «1764», расположенных</w:t>
            </w:r>
            <w:r w:rsidR="004334D0" w:rsidRPr="004334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4334D0" w:rsidRPr="004334D0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334D0" w:rsidRPr="004334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334D0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 w:rsidR="004334D0" w:rsidRPr="004334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334D0">
              <w:rPr>
                <w:rFonts w:ascii="Times New Roman" w:eastAsia="Times New Roman" w:hAnsi="Times New Roman" w:cs="Times New Roman"/>
                <w:sz w:val="28"/>
                <w:szCs w:val="28"/>
              </w:rPr>
              <w:t>Нижегородской</w:t>
            </w:r>
            <w:r w:rsidR="004334D0" w:rsidRPr="004334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334D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области:</w:t>
            </w:r>
            <w:r w:rsidRPr="004334D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1. ПАО Банк Зенит</w:t>
            </w:r>
            <w:r w:rsidR="004334D0"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34D0" w:rsidRPr="00535AAC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2. АО «Банк ДОМ. РФ»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3. АКБ «Ланта-Банк» (АО)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4. ПАО Банк «ФК Открытие»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5. АО АБ «РОССИЯ»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6. Банк ВТБ (ПАО)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7. Банк ГПБ (АО)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8. АО «Банк Интеза»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9. АО «МСП Банк»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10. ПАО «НБД-Банк»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11. АО «Райффайзенбанк»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12. ПАО РОСБАНК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13. ПАО «САРОВБИЗНЕСБАНК»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14. ПАО «Сбербанк России»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15. ПАО КБ «Центр-инвест»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16. ПАО «Промсвязьбанк»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334D0">
              <w:rPr>
                <w:rFonts w:ascii="Times New Roman" w:eastAsia="Times New Roman" w:hAnsi="Times New Roman" w:cs="Times New Roman"/>
                <w:sz w:val="29"/>
                <w:szCs w:val="29"/>
              </w:rPr>
              <w:t>17. АО «АЛЬФА-БАНК»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334D0">
              <w:rPr>
                <w:rFonts w:ascii="Times New Roman" w:eastAsia="Times New Roman" w:hAnsi="Times New Roman" w:cs="Times New Roman"/>
                <w:sz w:val="29"/>
                <w:szCs w:val="29"/>
              </w:rPr>
              <w:t>18. ТКБ БАНК (ПАО)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334D0">
              <w:rPr>
                <w:rFonts w:ascii="Times New Roman" w:eastAsia="Times New Roman" w:hAnsi="Times New Roman" w:cs="Times New Roman"/>
                <w:sz w:val="29"/>
                <w:szCs w:val="29"/>
              </w:rPr>
              <w:t>19. Банк «Возрождение» (ПАО)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334D0">
              <w:rPr>
                <w:rFonts w:ascii="Times New Roman" w:eastAsia="Times New Roman" w:hAnsi="Times New Roman" w:cs="Times New Roman"/>
                <w:sz w:val="29"/>
                <w:szCs w:val="29"/>
              </w:rPr>
              <w:t>20. АО «Россельхозбанк»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334D0">
              <w:rPr>
                <w:rFonts w:ascii="Times New Roman" w:eastAsia="Times New Roman" w:hAnsi="Times New Roman" w:cs="Times New Roman"/>
                <w:sz w:val="29"/>
                <w:szCs w:val="29"/>
              </w:rPr>
              <w:t>21. ПАО «Совкомбанк»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334D0">
              <w:rPr>
                <w:rFonts w:ascii="Times New Roman" w:eastAsia="Times New Roman" w:hAnsi="Times New Roman" w:cs="Times New Roman"/>
                <w:sz w:val="29"/>
                <w:szCs w:val="29"/>
              </w:rPr>
              <w:t>22. АО «СМП Банк»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334D0">
              <w:rPr>
                <w:rFonts w:ascii="Times New Roman" w:eastAsia="Times New Roman" w:hAnsi="Times New Roman" w:cs="Times New Roman"/>
                <w:sz w:val="29"/>
                <w:szCs w:val="29"/>
              </w:rPr>
              <w:t>23. «СДМ-Банк» (ПАО)</w:t>
            </w:r>
          </w:p>
          <w:p w:rsidR="000704AF" w:rsidRPr="000704AF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highlight w:val="yellow"/>
              </w:rPr>
            </w:pPr>
            <w:r w:rsidRPr="004334D0">
              <w:rPr>
                <w:rFonts w:ascii="Times New Roman" w:eastAsia="Times New Roman" w:hAnsi="Times New Roman" w:cs="Times New Roman"/>
                <w:sz w:val="29"/>
                <w:szCs w:val="29"/>
              </w:rPr>
              <w:t>24. ООО КБЭР «Банк Казани»</w:t>
            </w:r>
          </w:p>
        </w:tc>
      </w:tr>
      <w:tr w:rsidR="00AF7D6C" w:rsidRPr="006668DA" w:rsidTr="00CA40F8">
        <w:trPr>
          <w:cantSplit/>
          <w:trHeight w:hRule="exact" w:val="1711"/>
        </w:trPr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7D6C" w:rsidRPr="006668DA" w:rsidRDefault="00460028" w:rsidP="00CA40F8">
            <w:pPr>
              <w:pStyle w:val="a4"/>
              <w:ind w:left="288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lastRenderedPageBreak/>
              <w:t>3</w:t>
            </w:r>
            <w:r w:rsidR="00AF7D6C" w:rsidRPr="006668DA">
              <w:rPr>
                <w:b/>
                <w:sz w:val="29"/>
                <w:szCs w:val="29"/>
              </w:rPr>
              <w:t>.4. Реструктуризация задолженности</w:t>
            </w:r>
          </w:p>
          <w:p w:rsidR="00AF7D6C" w:rsidRPr="006668DA" w:rsidRDefault="00AF7D6C" w:rsidP="00CA40F8">
            <w:pPr>
              <w:pStyle w:val="a4"/>
              <w:ind w:left="288"/>
              <w:rPr>
                <w:b/>
                <w:sz w:val="29"/>
                <w:szCs w:val="29"/>
              </w:rPr>
            </w:pPr>
          </w:p>
        </w:tc>
        <w:tc>
          <w:tcPr>
            <w:tcW w:w="10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C7F" w:rsidRPr="006668DA" w:rsidRDefault="00CA40F8" w:rsidP="007D638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Рекомендации </w:t>
            </w:r>
            <w:r w:rsidR="00AF7D6C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а</w:t>
            </w:r>
            <w:r w:rsidR="00AF7D6C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России кредиторам реструктурировать кредиты и займы,</w:t>
            </w:r>
            <w:r w:rsidR="007D6387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 w:rsidR="00AF7D6C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выданные субъектам малого и среднего предпринимательства, самозанятым гражданам, при существенном ухудшении положения заемщика.</w:t>
            </w:r>
          </w:p>
          <w:p w:rsidR="00684C7F" w:rsidRPr="006668DA" w:rsidRDefault="00684C7F" w:rsidP="00810AE7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Письмо Банка России кредитным организациям</w:t>
            </w:r>
            <w:r w:rsidR="001801C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от 20</w:t>
            </w:r>
            <w:r w:rsidR="001801C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марта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2020</w:t>
            </w:r>
            <w:r w:rsidR="001801C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г.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№ИН-06-59/24.</w:t>
            </w:r>
          </w:p>
        </w:tc>
      </w:tr>
      <w:tr w:rsidR="00F51ED6" w:rsidRPr="006668DA" w:rsidTr="00E26DFB">
        <w:trPr>
          <w:cantSplit/>
          <w:trHeight w:hRule="exact" w:val="4674"/>
        </w:trPr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ED6" w:rsidRPr="006668DA" w:rsidRDefault="00460028" w:rsidP="009B70C5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033BD3" w:rsidRPr="006668DA">
              <w:rPr>
                <w:b/>
                <w:color w:val="000000"/>
                <w:sz w:val="28"/>
                <w:szCs w:val="28"/>
              </w:rPr>
              <w:t>.</w:t>
            </w:r>
            <w:r w:rsidR="00033BD3" w:rsidRPr="006668DA">
              <w:rPr>
                <w:b/>
                <w:sz w:val="28"/>
                <w:szCs w:val="28"/>
              </w:rPr>
              <w:t xml:space="preserve"> </w:t>
            </w:r>
            <w:r w:rsidR="009B70C5" w:rsidRPr="006668DA">
              <w:rPr>
                <w:b/>
                <w:sz w:val="28"/>
                <w:szCs w:val="28"/>
              </w:rPr>
              <w:t>Доступность и безопасность платежей</w:t>
            </w:r>
          </w:p>
        </w:tc>
        <w:tc>
          <w:tcPr>
            <w:tcW w:w="10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0C5" w:rsidRPr="006668DA" w:rsidRDefault="009B70C5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8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сохранения доступности дистанционной торговли и снижения издержек продавцов Банк России принял решение ограничить максимальное значение эквайринговых комиссий по онлайн-покупкам и установить их на период с </w:t>
            </w:r>
            <w:r w:rsidR="001801C8" w:rsidRPr="006668DA">
              <w:rPr>
                <w:rFonts w:ascii="Times New Roman" w:eastAsia="Times New Roman" w:hAnsi="Times New Roman" w:cs="Times New Roman"/>
                <w:sz w:val="28"/>
                <w:szCs w:val="28"/>
              </w:rPr>
              <w:t>15 апреля по 30 сентября 2020 г.</w:t>
            </w:r>
            <w:r w:rsidRPr="006668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уровне не более </w:t>
            </w:r>
            <w:r w:rsidR="007D6387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одного процента</w:t>
            </w:r>
            <w:r w:rsidRPr="006668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9B70C5" w:rsidRPr="006668DA" w:rsidRDefault="009B70C5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8DA">
              <w:rPr>
                <w:rFonts w:ascii="Times New Roman" w:eastAsia="Times New Roman" w:hAnsi="Times New Roman" w:cs="Times New Roman"/>
                <w:sz w:val="28"/>
                <w:szCs w:val="28"/>
              </w:rPr>
              <w:t>С 1 мая 2020 г</w:t>
            </w:r>
            <w:r w:rsidR="001801C8" w:rsidRPr="006668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668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максимальные банковские комиссии на переводы граждан в Системе быстрых платежей будут ограничены:</w:t>
            </w:r>
          </w:p>
          <w:p w:rsidR="009B70C5" w:rsidRPr="006668DA" w:rsidRDefault="009B70C5" w:rsidP="00CA40F8">
            <w:pPr>
              <w:numPr>
                <w:ilvl w:val="0"/>
                <w:numId w:val="7"/>
              </w:numPr>
              <w:tabs>
                <w:tab w:val="clear" w:pos="720"/>
                <w:tab w:val="num" w:pos="992"/>
              </w:tabs>
              <w:spacing w:before="100" w:beforeAutospacing="1" w:after="100" w:afterAutospacing="1" w:line="240" w:lineRule="auto"/>
              <w:ind w:left="142" w:righ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8D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переводы до 100 тыс. рублей в месяц — без комиссии;</w:t>
            </w:r>
          </w:p>
          <w:p w:rsidR="00CA40F8" w:rsidRDefault="009B70C5" w:rsidP="00E26DFB">
            <w:pPr>
              <w:numPr>
                <w:ilvl w:val="0"/>
                <w:numId w:val="7"/>
              </w:numPr>
              <w:tabs>
                <w:tab w:val="clear" w:pos="720"/>
                <w:tab w:val="num" w:pos="992"/>
              </w:tabs>
              <w:spacing w:line="240" w:lineRule="auto"/>
              <w:ind w:left="142" w:right="142" w:firstLine="567"/>
              <w:jc w:val="both"/>
              <w:rPr>
                <w:color w:val="000000"/>
              </w:rPr>
            </w:pPr>
            <w:r w:rsidRPr="006668D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переводы на сумму свыше 100 тыс. рублей в месяц — не более 0,5% от суммы перевода, но не более 1500 рублей.</w:t>
            </w:r>
          </w:p>
          <w:p w:rsidR="00F51ED6" w:rsidRPr="00CA40F8" w:rsidRDefault="009B70C5" w:rsidP="00E26DFB">
            <w:pPr>
              <w:spacing w:line="240" w:lineRule="auto"/>
              <w:ind w:left="142" w:right="142" w:firstLine="567"/>
              <w:jc w:val="both"/>
              <w:rPr>
                <w:color w:val="000000"/>
              </w:rPr>
            </w:pPr>
            <w:r w:rsidRPr="00CA40F8">
              <w:rPr>
                <w:rFonts w:ascii="Times New Roman" w:eastAsia="Times New Roman" w:hAnsi="Times New Roman" w:cs="Times New Roman"/>
                <w:sz w:val="28"/>
                <w:szCs w:val="28"/>
              </w:rPr>
              <w:t>Для того чтобы у граждан не возникало необходимости лишний раз выходить из дома, Банк России смягчил для банков требования по идентификации клиентов и расширил возможность предоставления ими дистанционных услуг. Операции, которые раньше проводились только с личным участием заемщика, например ипотечные сделки, в период распространения коронавируса можно проводить в удаленном режиме.</w:t>
            </w:r>
          </w:p>
        </w:tc>
      </w:tr>
      <w:tr w:rsidR="00E15B52" w:rsidRPr="006668DA" w:rsidTr="00CA40F8">
        <w:trPr>
          <w:cantSplit/>
          <w:trHeight w:hRule="exact" w:val="1410"/>
        </w:trPr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5B52" w:rsidRPr="006668DA" w:rsidRDefault="00460028" w:rsidP="00D3088E">
            <w:pPr>
              <w:pStyle w:val="a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="00E15B52" w:rsidRPr="006668DA">
              <w:rPr>
                <w:b/>
                <w:color w:val="000000"/>
                <w:sz w:val="28"/>
                <w:szCs w:val="28"/>
              </w:rPr>
              <w:t>. Организация</w:t>
            </w:r>
            <w:r w:rsidR="00D3088E" w:rsidRPr="006668DA">
              <w:rPr>
                <w:b/>
                <w:color w:val="000000"/>
                <w:sz w:val="28"/>
                <w:szCs w:val="28"/>
              </w:rPr>
              <w:t xml:space="preserve"> бесплатного</w:t>
            </w:r>
            <w:r w:rsidR="00E15B52" w:rsidRPr="006668DA">
              <w:rPr>
                <w:b/>
                <w:color w:val="000000"/>
                <w:sz w:val="28"/>
                <w:szCs w:val="28"/>
              </w:rPr>
              <w:t xml:space="preserve"> консультирования </w:t>
            </w:r>
            <w:r w:rsidR="00D3088E" w:rsidRPr="006668DA">
              <w:rPr>
                <w:b/>
                <w:color w:val="000000"/>
                <w:sz w:val="28"/>
                <w:szCs w:val="28"/>
              </w:rPr>
              <w:t>по предоставляемым мерам поддержки</w:t>
            </w:r>
          </w:p>
        </w:tc>
        <w:tc>
          <w:tcPr>
            <w:tcW w:w="10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5B52" w:rsidRPr="006668DA" w:rsidRDefault="00E15B52" w:rsidP="00810AE7">
            <w:pPr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68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Более подробную информацию можно получить </w:t>
            </w:r>
            <w:r w:rsidRPr="00666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бесплатно:</w:t>
            </w:r>
          </w:p>
          <w:p w:rsidR="00E15B52" w:rsidRPr="006668DA" w:rsidRDefault="00E15B52" w:rsidP="00810AE7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8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телефону </w:t>
            </w:r>
            <w:hyperlink r:id="rId7" w:history="1">
              <w:r w:rsidRPr="006668DA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8 800 300 30 00</w:t>
              </w:r>
            </w:hyperlink>
            <w:r w:rsidRPr="006668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звонков из регионов России</w:t>
            </w:r>
          </w:p>
          <w:p w:rsidR="00E15B52" w:rsidRPr="006668DA" w:rsidRDefault="00E15B52" w:rsidP="00810AE7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8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номеру </w:t>
            </w:r>
            <w:r w:rsidRPr="00666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300</w:t>
            </w:r>
            <w:r w:rsidRPr="006668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абонентов </w:t>
            </w:r>
            <w:r w:rsidRPr="00666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Билайн, Мегафон, МТС, Теле2, Yota</w:t>
            </w:r>
          </w:p>
          <w:p w:rsidR="00E15B52" w:rsidRPr="006668DA" w:rsidRDefault="00E15B52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3467" w:rsidRPr="006668DA" w:rsidRDefault="00503467" w:rsidP="00FE69A2"/>
    <w:sectPr w:rsidR="00503467" w:rsidRPr="006668DA" w:rsidSect="00A84660">
      <w:pgSz w:w="16838" w:h="11906" w:orient="landscape"/>
      <w:pgMar w:top="284" w:right="425" w:bottom="284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984"/>
    <w:multiLevelType w:val="multilevel"/>
    <w:tmpl w:val="6FEE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D2021"/>
    <w:multiLevelType w:val="multilevel"/>
    <w:tmpl w:val="A660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F6185"/>
    <w:multiLevelType w:val="multilevel"/>
    <w:tmpl w:val="DDD6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12C02"/>
    <w:multiLevelType w:val="hybridMultilevel"/>
    <w:tmpl w:val="181C6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E3AE3"/>
    <w:multiLevelType w:val="multilevel"/>
    <w:tmpl w:val="A740C86A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5">
    <w:nsid w:val="3BF43546"/>
    <w:multiLevelType w:val="hybridMultilevel"/>
    <w:tmpl w:val="3EB4D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33A67"/>
    <w:multiLevelType w:val="hybridMultilevel"/>
    <w:tmpl w:val="8152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97DF0"/>
    <w:multiLevelType w:val="hybridMultilevel"/>
    <w:tmpl w:val="53A69A8A"/>
    <w:lvl w:ilvl="0" w:tplc="71925D9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F51ED6"/>
    <w:rsid w:val="00012E1E"/>
    <w:rsid w:val="00033BD3"/>
    <w:rsid w:val="000519B7"/>
    <w:rsid w:val="00053FC8"/>
    <w:rsid w:val="000704AF"/>
    <w:rsid w:val="00072610"/>
    <w:rsid w:val="000D0067"/>
    <w:rsid w:val="000F2674"/>
    <w:rsid w:val="00104D79"/>
    <w:rsid w:val="00115D89"/>
    <w:rsid w:val="001332C1"/>
    <w:rsid w:val="001467F7"/>
    <w:rsid w:val="001801C8"/>
    <w:rsid w:val="00182D05"/>
    <w:rsid w:val="001B7A8F"/>
    <w:rsid w:val="001D7F4B"/>
    <w:rsid w:val="001E4CF4"/>
    <w:rsid w:val="001F6BC8"/>
    <w:rsid w:val="00201479"/>
    <w:rsid w:val="00205582"/>
    <w:rsid w:val="00253E73"/>
    <w:rsid w:val="00263950"/>
    <w:rsid w:val="002A520D"/>
    <w:rsid w:val="002B7BEB"/>
    <w:rsid w:val="002C0E51"/>
    <w:rsid w:val="002D1E9B"/>
    <w:rsid w:val="002D7AC8"/>
    <w:rsid w:val="002E348F"/>
    <w:rsid w:val="003163D3"/>
    <w:rsid w:val="003613C4"/>
    <w:rsid w:val="003656E1"/>
    <w:rsid w:val="0037010D"/>
    <w:rsid w:val="0038564B"/>
    <w:rsid w:val="003A69EA"/>
    <w:rsid w:val="003E0C54"/>
    <w:rsid w:val="003E487A"/>
    <w:rsid w:val="00425E12"/>
    <w:rsid w:val="00426D68"/>
    <w:rsid w:val="004334D0"/>
    <w:rsid w:val="00440E3D"/>
    <w:rsid w:val="00457605"/>
    <w:rsid w:val="00460028"/>
    <w:rsid w:val="004802BC"/>
    <w:rsid w:val="0049490C"/>
    <w:rsid w:val="004A1ABA"/>
    <w:rsid w:val="004A21A6"/>
    <w:rsid w:val="004C1F07"/>
    <w:rsid w:val="004D2332"/>
    <w:rsid w:val="004D706E"/>
    <w:rsid w:val="004E3A42"/>
    <w:rsid w:val="00503467"/>
    <w:rsid w:val="005339EA"/>
    <w:rsid w:val="00535AAC"/>
    <w:rsid w:val="00563061"/>
    <w:rsid w:val="00582CD8"/>
    <w:rsid w:val="005C2F7A"/>
    <w:rsid w:val="005C444D"/>
    <w:rsid w:val="005D70B5"/>
    <w:rsid w:val="005E081F"/>
    <w:rsid w:val="005E5C81"/>
    <w:rsid w:val="005F002F"/>
    <w:rsid w:val="00606207"/>
    <w:rsid w:val="00614C58"/>
    <w:rsid w:val="0065224F"/>
    <w:rsid w:val="0065620C"/>
    <w:rsid w:val="006668DA"/>
    <w:rsid w:val="006729E1"/>
    <w:rsid w:val="00674523"/>
    <w:rsid w:val="006766A7"/>
    <w:rsid w:val="00684C7F"/>
    <w:rsid w:val="00694737"/>
    <w:rsid w:val="006A0E4B"/>
    <w:rsid w:val="006A598D"/>
    <w:rsid w:val="006D0B65"/>
    <w:rsid w:val="006D499E"/>
    <w:rsid w:val="00715077"/>
    <w:rsid w:val="00715ACA"/>
    <w:rsid w:val="00724900"/>
    <w:rsid w:val="00740B75"/>
    <w:rsid w:val="00767638"/>
    <w:rsid w:val="00785DE7"/>
    <w:rsid w:val="007D6387"/>
    <w:rsid w:val="008036F9"/>
    <w:rsid w:val="00810AE7"/>
    <w:rsid w:val="00832770"/>
    <w:rsid w:val="0084647F"/>
    <w:rsid w:val="00890F96"/>
    <w:rsid w:val="0089139D"/>
    <w:rsid w:val="0089178F"/>
    <w:rsid w:val="008B2918"/>
    <w:rsid w:val="008C3E83"/>
    <w:rsid w:val="008D0CF3"/>
    <w:rsid w:val="008D13F0"/>
    <w:rsid w:val="008D53EF"/>
    <w:rsid w:val="00951532"/>
    <w:rsid w:val="00973B51"/>
    <w:rsid w:val="00976B8A"/>
    <w:rsid w:val="009A779E"/>
    <w:rsid w:val="009B70C5"/>
    <w:rsid w:val="009E546D"/>
    <w:rsid w:val="00A13383"/>
    <w:rsid w:val="00A636F3"/>
    <w:rsid w:val="00A84660"/>
    <w:rsid w:val="00A9506D"/>
    <w:rsid w:val="00AA23E3"/>
    <w:rsid w:val="00AB248C"/>
    <w:rsid w:val="00AC149D"/>
    <w:rsid w:val="00AD1378"/>
    <w:rsid w:val="00AD62C6"/>
    <w:rsid w:val="00AF7D6C"/>
    <w:rsid w:val="00B4103A"/>
    <w:rsid w:val="00B47A97"/>
    <w:rsid w:val="00BA0657"/>
    <w:rsid w:val="00BD0C0F"/>
    <w:rsid w:val="00BD48CB"/>
    <w:rsid w:val="00BE41F1"/>
    <w:rsid w:val="00C06150"/>
    <w:rsid w:val="00C21278"/>
    <w:rsid w:val="00C6600F"/>
    <w:rsid w:val="00C90091"/>
    <w:rsid w:val="00CA40F8"/>
    <w:rsid w:val="00CA59C9"/>
    <w:rsid w:val="00D3088E"/>
    <w:rsid w:val="00D46B02"/>
    <w:rsid w:val="00E15B52"/>
    <w:rsid w:val="00E26DFB"/>
    <w:rsid w:val="00E32E3B"/>
    <w:rsid w:val="00E67CA3"/>
    <w:rsid w:val="00E87F60"/>
    <w:rsid w:val="00EC660C"/>
    <w:rsid w:val="00ED7A05"/>
    <w:rsid w:val="00EE3801"/>
    <w:rsid w:val="00F019FE"/>
    <w:rsid w:val="00F11FCF"/>
    <w:rsid w:val="00F51ED6"/>
    <w:rsid w:val="00F62DEB"/>
    <w:rsid w:val="00F81768"/>
    <w:rsid w:val="00FD651F"/>
    <w:rsid w:val="00FD6557"/>
    <w:rsid w:val="00FE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F3"/>
  </w:style>
  <w:style w:type="paragraph" w:styleId="2">
    <w:name w:val="heading 2"/>
    <w:basedOn w:val="a"/>
    <w:link w:val="20"/>
    <w:uiPriority w:val="9"/>
    <w:qFormat/>
    <w:rsid w:val="009B70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B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3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33BD3"/>
    <w:rPr>
      <w:color w:val="0000FF"/>
      <w:u w:val="single"/>
    </w:rPr>
  </w:style>
  <w:style w:type="character" w:styleId="a6">
    <w:name w:val="Strong"/>
    <w:basedOn w:val="a0"/>
    <w:uiPriority w:val="22"/>
    <w:qFormat/>
    <w:rsid w:val="00033BD3"/>
    <w:rPr>
      <w:b/>
      <w:bCs/>
    </w:rPr>
  </w:style>
  <w:style w:type="character" w:styleId="a7">
    <w:name w:val="Emphasis"/>
    <w:basedOn w:val="a0"/>
    <w:uiPriority w:val="20"/>
    <w:qFormat/>
    <w:rsid w:val="0084647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B70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656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F3"/>
  </w:style>
  <w:style w:type="paragraph" w:styleId="2">
    <w:name w:val="heading 2"/>
    <w:basedOn w:val="a"/>
    <w:link w:val="20"/>
    <w:uiPriority w:val="9"/>
    <w:qFormat/>
    <w:rsid w:val="009B70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B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3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33BD3"/>
    <w:rPr>
      <w:color w:val="0000FF"/>
      <w:u w:val="single"/>
    </w:rPr>
  </w:style>
  <w:style w:type="character" w:styleId="a6">
    <w:name w:val="Strong"/>
    <w:basedOn w:val="a0"/>
    <w:uiPriority w:val="22"/>
    <w:qFormat/>
    <w:rsid w:val="00033BD3"/>
    <w:rPr>
      <w:b/>
      <w:bCs/>
    </w:rPr>
  </w:style>
  <w:style w:type="character" w:styleId="a7">
    <w:name w:val="Emphasis"/>
    <w:basedOn w:val="a0"/>
    <w:uiPriority w:val="20"/>
    <w:qFormat/>
    <w:rsid w:val="0084647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B70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656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8800300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docs/3938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 Марк Юрьевич</dc:creator>
  <cp:lastModifiedBy>Пользователь Windows</cp:lastModifiedBy>
  <cp:revision>19</cp:revision>
  <cp:lastPrinted>2020-04-20T14:14:00Z</cp:lastPrinted>
  <dcterms:created xsi:type="dcterms:W3CDTF">2020-04-20T13:21:00Z</dcterms:created>
  <dcterms:modified xsi:type="dcterms:W3CDTF">2020-04-20T15:07:00Z</dcterms:modified>
</cp:coreProperties>
</file>